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pacing w:val="10"/>
          <w:szCs w:val="32"/>
          <w:lang w:val="en-US" w:eastAsia="zh-CN"/>
        </w:rPr>
      </w:pPr>
      <w:r>
        <w:rPr>
          <w:rFonts w:hint="eastAsia"/>
          <w:spacing w:val="10"/>
          <w:szCs w:val="32"/>
          <w:lang w:val="en-US" w:eastAsia="zh-CN"/>
        </w:rPr>
        <w:t>附件1</w:t>
      </w:r>
    </w:p>
    <w:p>
      <w:pPr>
        <w:jc w:val="center"/>
        <w:rPr>
          <w:rFonts w:hint="eastAsia" w:ascii="仿宋" w:hAnsi="仿宋" w:eastAsia="仿宋" w:cs="仿宋"/>
          <w:b/>
          <w:sz w:val="32"/>
          <w:szCs w:val="32"/>
        </w:rPr>
      </w:pPr>
      <w:r>
        <w:rPr>
          <w:rFonts w:hint="eastAsia" w:ascii="仿宋" w:hAnsi="仿宋" w:eastAsia="仿宋" w:cs="仿宋"/>
          <w:b/>
          <w:sz w:val="32"/>
          <w:szCs w:val="32"/>
        </w:rPr>
        <w:t>南京航空航天大学“课程思政”教学竞赛评分表</w:t>
      </w:r>
    </w:p>
    <w:p>
      <w:pPr>
        <w:keepNext w:val="0"/>
        <w:keepLines w:val="0"/>
        <w:pageBreakBefore w:val="0"/>
        <w:widowControl w:val="0"/>
        <w:kinsoku/>
        <w:wordWrap/>
        <w:overflowPunct/>
        <w:topLinePunct w:val="0"/>
        <w:autoSpaceDE/>
        <w:autoSpaceDN/>
        <w:bidi w:val="0"/>
        <w:adjustRightInd/>
        <w:snapToGrid/>
        <w:spacing w:after="157" w:afterLines="50"/>
        <w:jc w:val="left"/>
        <w:textAlignment w:val="auto"/>
        <w:rPr>
          <w:rFonts w:ascii="仿宋_GB2312" w:hAnsi="仿宋_GB2312" w:eastAsia="仿宋_GB2312" w:cs="仿宋_GB2312"/>
          <w:b/>
          <w:bCs/>
          <w:szCs w:val="21"/>
        </w:rPr>
      </w:pPr>
      <w:r>
        <w:rPr>
          <w:rFonts w:hint="eastAsia" w:ascii="仿宋_GB2312" w:hAnsi="仿宋_GB2312" w:eastAsia="仿宋_GB2312" w:cs="仿宋_GB2312"/>
          <w:b/>
          <w:bCs/>
          <w:szCs w:val="21"/>
        </w:rPr>
        <w:t>课程名称:                          任课教师:                     评委签字:</w:t>
      </w:r>
    </w:p>
    <w:tbl>
      <w:tblPr>
        <w:tblStyle w:val="2"/>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078"/>
        <w:gridCol w:w="5058"/>
        <w:gridCol w:w="1313"/>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12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评价</w:t>
            </w:r>
          </w:p>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指标</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分值</w:t>
            </w:r>
          </w:p>
        </w:tc>
        <w:tc>
          <w:tcPr>
            <w:tcW w:w="50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评分内容</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分值</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1269" w:type="dxa"/>
            <w:vMerge w:val="restart"/>
            <w:tcBorders>
              <w:top w:val="single" w:color="auto" w:sz="4" w:space="0"/>
              <w:left w:val="single" w:color="auto" w:sz="4" w:space="0"/>
              <w:right w:val="single" w:color="auto" w:sz="4" w:space="0"/>
            </w:tcBorders>
            <w:noWrap w:val="0"/>
            <w:vAlign w:val="center"/>
          </w:tcPr>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教学</w:t>
            </w:r>
          </w:p>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设计</w:t>
            </w:r>
          </w:p>
        </w:tc>
        <w:tc>
          <w:tcPr>
            <w:tcW w:w="1078" w:type="dxa"/>
            <w:vMerge w:val="restart"/>
            <w:tcBorders>
              <w:top w:val="single" w:color="auto" w:sz="4" w:space="0"/>
              <w:left w:val="single" w:color="auto" w:sz="4" w:space="0"/>
              <w:right w:val="single" w:color="auto" w:sz="4" w:space="0"/>
            </w:tcBorders>
            <w:noWrap w:val="0"/>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30</w:t>
            </w:r>
          </w:p>
        </w:tc>
        <w:tc>
          <w:tcPr>
            <w:tcW w:w="5058"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备课充分，精心设计教学各个环节，有符合课程大纲、结合“课程思政”的教学目标、教学内容和教学方法设计。教案完整、规范，条理清晰。</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269" w:type="dxa"/>
            <w:vMerge w:val="continue"/>
            <w:tcBorders>
              <w:left w:val="single" w:color="auto" w:sz="4" w:space="0"/>
              <w:right w:val="single" w:color="auto" w:sz="4" w:space="0"/>
            </w:tcBorders>
            <w:noWrap w:val="0"/>
            <w:vAlign w:val="center"/>
          </w:tcPr>
          <w:p>
            <w:pPr>
              <w:snapToGrid w:val="0"/>
              <w:jc w:val="center"/>
              <w:rPr>
                <w:rFonts w:ascii="仿宋_GB2312" w:hAnsi="仿宋_GB2312" w:eastAsia="仿宋_GB2312" w:cs="仿宋_GB2312"/>
                <w:b/>
                <w:sz w:val="28"/>
                <w:szCs w:val="28"/>
              </w:rPr>
            </w:pPr>
          </w:p>
        </w:tc>
        <w:tc>
          <w:tcPr>
            <w:tcW w:w="1078" w:type="dxa"/>
            <w:vMerge w:val="continue"/>
            <w:tcBorders>
              <w:left w:val="single" w:color="auto" w:sz="4" w:space="0"/>
              <w:right w:val="single" w:color="auto" w:sz="4" w:space="0"/>
            </w:tcBorders>
            <w:noWrap w:val="0"/>
            <w:vAlign w:val="center"/>
          </w:tcPr>
          <w:p>
            <w:pPr>
              <w:snapToGrid w:val="0"/>
              <w:rPr>
                <w:rFonts w:ascii="仿宋_GB2312" w:hAnsi="仿宋_GB2312" w:eastAsia="仿宋_GB2312" w:cs="仿宋_GB2312"/>
                <w:sz w:val="28"/>
                <w:szCs w:val="28"/>
              </w:rPr>
            </w:pPr>
          </w:p>
        </w:tc>
        <w:tc>
          <w:tcPr>
            <w:tcW w:w="5058"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知识讲授符合高校学生认知规律和教学实际。</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1269" w:type="dxa"/>
            <w:vMerge w:val="restart"/>
            <w:tcBorders>
              <w:top w:val="single" w:color="auto" w:sz="4" w:space="0"/>
              <w:left w:val="single" w:color="auto" w:sz="4" w:space="0"/>
              <w:right w:val="single" w:color="auto" w:sz="4" w:space="0"/>
            </w:tcBorders>
            <w:noWrap w:val="0"/>
            <w:vAlign w:val="center"/>
          </w:tcPr>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教学</w:t>
            </w:r>
          </w:p>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实施</w:t>
            </w:r>
          </w:p>
        </w:tc>
        <w:tc>
          <w:tcPr>
            <w:tcW w:w="1078" w:type="dxa"/>
            <w:vMerge w:val="restart"/>
            <w:tcBorders>
              <w:top w:val="single" w:color="auto" w:sz="4" w:space="0"/>
              <w:left w:val="single" w:color="auto" w:sz="4" w:space="0"/>
              <w:right w:val="single" w:color="auto" w:sz="4" w:space="0"/>
            </w:tcBorders>
            <w:noWrap w:val="0"/>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3</w:t>
            </w:r>
            <w:r>
              <w:rPr>
                <w:rFonts w:hint="eastAsia" w:ascii="仿宋_GB2312" w:hAnsi="仿宋_GB2312" w:eastAsia="仿宋_GB2312" w:cs="仿宋_GB2312"/>
                <w:sz w:val="28"/>
                <w:szCs w:val="28"/>
              </w:rPr>
              <w:t>0</w:t>
            </w:r>
          </w:p>
        </w:tc>
        <w:tc>
          <w:tcPr>
            <w:tcW w:w="5058"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围绕选题设计，教学目的明确，教学思路清晰。善于提炼专业课程蕴含的思政元素，教学内容呈现恰当，教学活动组织合理。</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0</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1269" w:type="dxa"/>
            <w:vMerge w:val="continue"/>
            <w:tcBorders>
              <w:left w:val="single" w:color="auto" w:sz="4" w:space="0"/>
              <w:right w:val="single" w:color="auto" w:sz="4" w:space="0"/>
            </w:tcBorders>
            <w:noWrap w:val="0"/>
            <w:vAlign w:val="center"/>
          </w:tcPr>
          <w:p>
            <w:pPr>
              <w:snapToGrid w:val="0"/>
              <w:jc w:val="center"/>
              <w:rPr>
                <w:rFonts w:ascii="仿宋_GB2312" w:hAnsi="仿宋_GB2312" w:eastAsia="仿宋_GB2312" w:cs="仿宋_GB2312"/>
                <w:b/>
                <w:sz w:val="28"/>
                <w:szCs w:val="28"/>
              </w:rPr>
            </w:pPr>
          </w:p>
        </w:tc>
        <w:tc>
          <w:tcPr>
            <w:tcW w:w="1078" w:type="dxa"/>
            <w:vMerge w:val="continue"/>
            <w:tcBorders>
              <w:left w:val="single" w:color="auto" w:sz="4" w:space="0"/>
              <w:right w:val="single" w:color="auto" w:sz="4" w:space="0"/>
            </w:tcBorders>
            <w:noWrap w:val="0"/>
            <w:vAlign w:val="center"/>
          </w:tcPr>
          <w:p>
            <w:pPr>
              <w:snapToGrid w:val="0"/>
              <w:rPr>
                <w:rFonts w:ascii="仿宋_GB2312" w:hAnsi="仿宋_GB2312" w:eastAsia="仿宋_GB2312" w:cs="仿宋_GB2312"/>
                <w:sz w:val="28"/>
                <w:szCs w:val="28"/>
              </w:rPr>
            </w:pPr>
          </w:p>
        </w:tc>
        <w:tc>
          <w:tcPr>
            <w:tcW w:w="5058"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善于综合运用现代信息技术手段和数字资源把思政教育巧妙渗透教学全过程，教学方法运用恰当，教学策略使用有效。</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1269" w:type="dxa"/>
            <w:vMerge w:val="continue"/>
            <w:tcBorders>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b/>
                <w:sz w:val="28"/>
                <w:szCs w:val="28"/>
              </w:rPr>
            </w:pPr>
          </w:p>
        </w:tc>
        <w:tc>
          <w:tcPr>
            <w:tcW w:w="1078" w:type="dxa"/>
            <w:vMerge w:val="continue"/>
            <w:tcBorders>
              <w:left w:val="single" w:color="auto" w:sz="4" w:space="0"/>
              <w:bottom w:val="single" w:color="auto" w:sz="4" w:space="0"/>
              <w:right w:val="single" w:color="auto" w:sz="4" w:space="0"/>
            </w:tcBorders>
            <w:noWrap w:val="0"/>
            <w:vAlign w:val="center"/>
          </w:tcPr>
          <w:p>
            <w:pPr>
              <w:snapToGrid w:val="0"/>
              <w:rPr>
                <w:rFonts w:ascii="仿宋_GB2312" w:hAnsi="仿宋_GB2312" w:eastAsia="仿宋_GB2312" w:cs="仿宋_GB2312"/>
                <w:sz w:val="28"/>
                <w:szCs w:val="28"/>
              </w:rPr>
            </w:pPr>
          </w:p>
        </w:tc>
        <w:tc>
          <w:tcPr>
            <w:tcW w:w="5058"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注重教学互动，突出学生主体地位，调动学生参与课堂积极性。</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1269" w:type="dxa"/>
            <w:vMerge w:val="restart"/>
            <w:tcBorders>
              <w:top w:val="single" w:color="auto" w:sz="4" w:space="0"/>
              <w:left w:val="single" w:color="auto" w:sz="4" w:space="0"/>
              <w:right w:val="single" w:color="auto" w:sz="4" w:space="0"/>
            </w:tcBorders>
            <w:noWrap w:val="0"/>
            <w:vAlign w:val="center"/>
          </w:tcPr>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教学</w:t>
            </w:r>
          </w:p>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效果</w:t>
            </w:r>
          </w:p>
        </w:tc>
        <w:tc>
          <w:tcPr>
            <w:tcW w:w="1078" w:type="dxa"/>
            <w:vMerge w:val="restart"/>
            <w:tcBorders>
              <w:top w:val="single" w:color="auto" w:sz="4" w:space="0"/>
              <w:left w:val="single" w:color="auto" w:sz="4" w:space="0"/>
              <w:right w:val="single" w:color="auto" w:sz="4" w:space="0"/>
            </w:tcBorders>
            <w:noWrap w:val="0"/>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15</w:t>
            </w:r>
          </w:p>
        </w:tc>
        <w:tc>
          <w:tcPr>
            <w:tcW w:w="5058"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注重思政教育和价值引领，有效达成教学目标，效果明显。</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1269" w:type="dxa"/>
            <w:vMerge w:val="continue"/>
            <w:tcBorders>
              <w:left w:val="single" w:color="auto" w:sz="4" w:space="0"/>
              <w:right w:val="single" w:color="auto" w:sz="4" w:space="0"/>
            </w:tcBorders>
            <w:noWrap w:val="0"/>
            <w:vAlign w:val="center"/>
          </w:tcPr>
          <w:p>
            <w:pPr>
              <w:snapToGrid w:val="0"/>
              <w:jc w:val="center"/>
              <w:rPr>
                <w:rFonts w:ascii="仿宋_GB2312" w:hAnsi="仿宋_GB2312" w:eastAsia="仿宋_GB2312" w:cs="仿宋_GB2312"/>
                <w:b/>
                <w:sz w:val="28"/>
                <w:szCs w:val="28"/>
              </w:rPr>
            </w:pPr>
          </w:p>
        </w:tc>
        <w:tc>
          <w:tcPr>
            <w:tcW w:w="1078" w:type="dxa"/>
            <w:vMerge w:val="continue"/>
            <w:tcBorders>
              <w:left w:val="single" w:color="auto" w:sz="4" w:space="0"/>
              <w:right w:val="single" w:color="auto" w:sz="4" w:space="0"/>
            </w:tcBorders>
            <w:noWrap w:val="0"/>
            <w:vAlign w:val="center"/>
          </w:tcPr>
          <w:p>
            <w:pPr>
              <w:snapToGrid w:val="0"/>
              <w:rPr>
                <w:rFonts w:ascii="仿宋_GB2312" w:hAnsi="仿宋_GB2312" w:eastAsia="仿宋_GB2312" w:cs="仿宋_GB2312"/>
                <w:sz w:val="28"/>
                <w:szCs w:val="28"/>
              </w:rPr>
            </w:pPr>
          </w:p>
        </w:tc>
        <w:tc>
          <w:tcPr>
            <w:tcW w:w="5058"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教学语言规范、教学逻辑严谨，感染力强，课堂教学气氛好。</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1269" w:type="dxa"/>
            <w:vMerge w:val="continue"/>
            <w:tcBorders>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b/>
                <w:sz w:val="28"/>
                <w:szCs w:val="28"/>
              </w:rPr>
            </w:pPr>
          </w:p>
        </w:tc>
        <w:tc>
          <w:tcPr>
            <w:tcW w:w="1078" w:type="dxa"/>
            <w:vMerge w:val="continue"/>
            <w:tcBorders>
              <w:left w:val="single" w:color="auto" w:sz="4" w:space="0"/>
              <w:bottom w:val="single" w:color="auto" w:sz="4" w:space="0"/>
              <w:right w:val="single" w:color="auto" w:sz="4" w:space="0"/>
            </w:tcBorders>
            <w:noWrap w:val="0"/>
            <w:vAlign w:val="center"/>
          </w:tcPr>
          <w:p>
            <w:pPr>
              <w:snapToGrid w:val="0"/>
              <w:rPr>
                <w:rFonts w:ascii="仿宋_GB2312" w:hAnsi="仿宋_GB2312" w:eastAsia="仿宋_GB2312" w:cs="仿宋_GB2312"/>
                <w:sz w:val="28"/>
                <w:szCs w:val="28"/>
              </w:rPr>
            </w:pPr>
          </w:p>
        </w:tc>
        <w:tc>
          <w:tcPr>
            <w:tcW w:w="5058"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能够为学生搭建课外学习平台，引导学生进行自主学习和自主评价。</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1269" w:type="dxa"/>
            <w:vMerge w:val="restart"/>
            <w:tcBorders>
              <w:top w:val="single" w:color="auto" w:sz="4" w:space="0"/>
              <w:left w:val="single" w:color="auto" w:sz="4" w:space="0"/>
              <w:right w:val="single" w:color="auto" w:sz="4" w:space="0"/>
            </w:tcBorders>
            <w:noWrap w:val="0"/>
            <w:vAlign w:val="center"/>
          </w:tcPr>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教师素养与特色创新</w:t>
            </w:r>
          </w:p>
        </w:tc>
        <w:tc>
          <w:tcPr>
            <w:tcW w:w="1078" w:type="dxa"/>
            <w:vMerge w:val="restart"/>
            <w:tcBorders>
              <w:top w:val="single" w:color="auto" w:sz="4" w:space="0"/>
              <w:left w:val="single" w:color="auto" w:sz="4" w:space="0"/>
              <w:right w:val="single" w:color="auto" w:sz="4" w:space="0"/>
            </w:tcBorders>
            <w:noWrap w:val="0"/>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5</w:t>
            </w:r>
          </w:p>
        </w:tc>
        <w:tc>
          <w:tcPr>
            <w:tcW w:w="5058"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具有良好的专业素养、科学精神、人文情怀；教态大方，举止得体，精神饱满，综合素质高；个人教学特色突出。</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1269" w:type="dxa"/>
            <w:vMerge w:val="continue"/>
            <w:tcBorders>
              <w:left w:val="single" w:color="auto" w:sz="4" w:space="0"/>
              <w:right w:val="single" w:color="auto" w:sz="4" w:space="0"/>
            </w:tcBorders>
            <w:noWrap w:val="0"/>
            <w:vAlign w:val="center"/>
          </w:tcPr>
          <w:p>
            <w:pPr>
              <w:snapToGrid w:val="0"/>
              <w:jc w:val="center"/>
              <w:rPr>
                <w:rFonts w:ascii="仿宋_GB2312" w:hAnsi="仿宋_GB2312" w:eastAsia="仿宋_GB2312" w:cs="仿宋_GB2312"/>
                <w:b/>
                <w:sz w:val="28"/>
                <w:szCs w:val="28"/>
              </w:rPr>
            </w:pPr>
          </w:p>
        </w:tc>
        <w:tc>
          <w:tcPr>
            <w:tcW w:w="1078" w:type="dxa"/>
            <w:vMerge w:val="continue"/>
            <w:tcBorders>
              <w:left w:val="single" w:color="auto" w:sz="4" w:space="0"/>
              <w:bottom w:val="single" w:color="auto" w:sz="4" w:space="0"/>
              <w:right w:val="single" w:color="auto" w:sz="4" w:space="0"/>
            </w:tcBorders>
            <w:noWrap w:val="0"/>
            <w:vAlign w:val="center"/>
          </w:tcPr>
          <w:p>
            <w:pPr>
              <w:snapToGrid w:val="0"/>
              <w:rPr>
                <w:rFonts w:ascii="仿宋_GB2312" w:hAnsi="仿宋_GB2312" w:eastAsia="仿宋_GB2312" w:cs="仿宋_GB2312"/>
                <w:sz w:val="28"/>
                <w:szCs w:val="28"/>
              </w:rPr>
            </w:pPr>
          </w:p>
        </w:tc>
        <w:tc>
          <w:tcPr>
            <w:tcW w:w="5058"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思政育人</w:t>
            </w:r>
            <w:r>
              <w:rPr>
                <w:rFonts w:ascii="仿宋_GB2312" w:hAnsi="仿宋_GB2312" w:eastAsia="仿宋_GB2312" w:cs="仿宋_GB2312"/>
                <w:sz w:val="28"/>
                <w:szCs w:val="28"/>
              </w:rPr>
              <w:t>效果好，</w:t>
            </w:r>
            <w:r>
              <w:rPr>
                <w:rFonts w:hint="eastAsia" w:ascii="仿宋_GB2312" w:hAnsi="仿宋_GB2312" w:eastAsia="仿宋_GB2312" w:cs="仿宋_GB2312"/>
                <w:sz w:val="28"/>
                <w:szCs w:val="28"/>
              </w:rPr>
              <w:t>特色鲜明，具有较强的示范性。</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5</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sz w:val="28"/>
                <w:szCs w:val="28"/>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335C0BA7"/>
    <w:rsid w:val="335C0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2023-10-18T06:59:00Z</dcterms:created>
  <dc:creator>桃子月亮</dc:creator>
  <cp:lastModifiedBy>桃子月亮</cp:lastModifiedBy>
  <dcterms:modified xsi:type="dcterms:W3CDTF">2023-10-18T07:00:19Z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948BB1D5A4C64C01B3E1057D4CA7E1AF_11</vt:lpwstr>
  </property>
</Properties>
</file>